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F6" w:rsidRDefault="007D08F6" w:rsidP="007D08F6">
      <w:pPr>
        <w:pStyle w:val="Ttulo"/>
      </w:pPr>
      <w:r>
        <w:t>INSTITUTO URUGUAYO DE CAPACITACION SEXOLOGICA</w:t>
      </w:r>
    </w:p>
    <w:p w:rsidR="007D08F6" w:rsidRDefault="007D08F6" w:rsidP="007D08F6">
      <w:pPr>
        <w:pStyle w:val="Ttulo"/>
      </w:pPr>
    </w:p>
    <w:p w:rsidR="00AE17C4" w:rsidRDefault="00AE17C4" w:rsidP="007D08F6">
      <w:pPr>
        <w:pStyle w:val="Ttulo"/>
      </w:pPr>
    </w:p>
    <w:p w:rsidR="00AE17C4" w:rsidRDefault="00AE17C4" w:rsidP="007D08F6">
      <w:pPr>
        <w:pStyle w:val="Ttulo"/>
      </w:pPr>
    </w:p>
    <w:p w:rsidR="007D08F6" w:rsidRDefault="007D08F6" w:rsidP="007D08F6">
      <w:pPr>
        <w:pStyle w:val="Ttulo"/>
      </w:pPr>
    </w:p>
    <w:p w:rsidR="007D08F6" w:rsidRDefault="007D08F6" w:rsidP="007D08F6">
      <w:pPr>
        <w:pStyle w:val="Ttulo"/>
      </w:pPr>
    </w:p>
    <w:p w:rsidR="007D08F6" w:rsidRPr="00AE17C4" w:rsidRDefault="007D08F6" w:rsidP="007D08F6">
      <w:pPr>
        <w:pStyle w:val="Ttulo"/>
        <w:rPr>
          <w:sz w:val="22"/>
          <w:szCs w:val="22"/>
        </w:rPr>
      </w:pPr>
    </w:p>
    <w:p w:rsidR="007D08F6" w:rsidRPr="00AE17C4" w:rsidRDefault="007D08F6" w:rsidP="007D08F6">
      <w:pPr>
        <w:pStyle w:val="Ttulo"/>
        <w:rPr>
          <w:sz w:val="22"/>
          <w:szCs w:val="22"/>
        </w:rPr>
      </w:pPr>
    </w:p>
    <w:p w:rsidR="007D08F6" w:rsidRPr="00AE17C4" w:rsidRDefault="007D08F6" w:rsidP="007D08F6">
      <w:pPr>
        <w:pStyle w:val="Ttulo"/>
        <w:rPr>
          <w:sz w:val="22"/>
          <w:szCs w:val="22"/>
        </w:rPr>
      </w:pPr>
    </w:p>
    <w:p w:rsidR="007D08F6" w:rsidRPr="00AE17C4" w:rsidRDefault="007D08F6" w:rsidP="007D08F6">
      <w:pPr>
        <w:pStyle w:val="Ttulo"/>
        <w:rPr>
          <w:sz w:val="22"/>
          <w:szCs w:val="22"/>
        </w:rPr>
      </w:pPr>
    </w:p>
    <w:p w:rsidR="007D08F6" w:rsidRDefault="007D08F6" w:rsidP="007D08F6">
      <w:pPr>
        <w:pStyle w:val="Ttulo"/>
      </w:pPr>
    </w:p>
    <w:p w:rsidR="007D08F6" w:rsidRPr="00AE17C4" w:rsidRDefault="00F134C0" w:rsidP="007D08F6">
      <w:pPr>
        <w:pStyle w:val="Ttulo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  <w:t>CURSO DE SEXOLOGÍA CLINÍ</w:t>
      </w:r>
      <w:r w:rsidR="007D08F6" w:rsidRPr="00AE17C4">
        <w:rPr>
          <w:rFonts w:ascii="Arial" w:hAnsi="Arial"/>
          <w:sz w:val="56"/>
          <w:szCs w:val="56"/>
        </w:rPr>
        <w:t>CA</w:t>
      </w:r>
    </w:p>
    <w:p w:rsidR="00AE17C4" w:rsidRPr="00AE17C4" w:rsidRDefault="00AE17C4" w:rsidP="007D08F6">
      <w:pPr>
        <w:pStyle w:val="Ttulo"/>
        <w:rPr>
          <w:rFonts w:ascii="Arial" w:hAnsi="Arial"/>
          <w:sz w:val="56"/>
          <w:szCs w:val="56"/>
        </w:rPr>
      </w:pPr>
    </w:p>
    <w:p w:rsidR="007D08F6" w:rsidRPr="00AE17C4" w:rsidRDefault="00AE17C4" w:rsidP="007D08F6">
      <w:pPr>
        <w:pStyle w:val="Ttulo"/>
        <w:rPr>
          <w:rFonts w:ascii="Arial" w:hAnsi="Arial"/>
          <w:sz w:val="56"/>
          <w:szCs w:val="56"/>
        </w:rPr>
      </w:pPr>
      <w:r w:rsidRPr="00AE17C4">
        <w:rPr>
          <w:rFonts w:ascii="Arial" w:hAnsi="Arial"/>
          <w:sz w:val="56"/>
          <w:szCs w:val="56"/>
        </w:rPr>
        <w:t>Nivel 3</w:t>
      </w: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AE17C4" w:rsidRPr="00AE17C4" w:rsidRDefault="00AE17C4" w:rsidP="007D08F6">
      <w:pPr>
        <w:pStyle w:val="Ttulo"/>
        <w:rPr>
          <w:rFonts w:ascii="Arial" w:hAnsi="Arial"/>
          <w:sz w:val="22"/>
          <w:szCs w:val="22"/>
        </w:rPr>
      </w:pPr>
    </w:p>
    <w:p w:rsidR="007D08F6" w:rsidRPr="00AE17C4" w:rsidRDefault="007D08F6" w:rsidP="007D08F6">
      <w:pPr>
        <w:pStyle w:val="Ttulo"/>
        <w:jc w:val="left"/>
        <w:rPr>
          <w:rFonts w:ascii="Arial" w:hAnsi="Arial"/>
          <w:sz w:val="22"/>
          <w:szCs w:val="22"/>
        </w:rPr>
      </w:pPr>
    </w:p>
    <w:p w:rsidR="007D08F6" w:rsidRDefault="007D08F6" w:rsidP="007D08F6">
      <w:pPr>
        <w:widowControl w:val="0"/>
        <w:jc w:val="center"/>
        <w:rPr>
          <w:b/>
          <w:snapToGrid w:val="0"/>
          <w:sz w:val="22"/>
          <w:szCs w:val="22"/>
          <w:u w:val="single"/>
          <w:lang w:val="es-MX"/>
        </w:rPr>
      </w:pPr>
    </w:p>
    <w:p w:rsidR="00AE17C4" w:rsidRDefault="00AE17C4" w:rsidP="007D08F6">
      <w:pPr>
        <w:widowControl w:val="0"/>
        <w:jc w:val="center"/>
        <w:rPr>
          <w:b/>
          <w:snapToGrid w:val="0"/>
          <w:sz w:val="22"/>
          <w:szCs w:val="22"/>
          <w:u w:val="single"/>
          <w:lang w:val="es-MX"/>
        </w:rPr>
      </w:pPr>
    </w:p>
    <w:p w:rsidR="00AE17C4" w:rsidRDefault="00AE17C4" w:rsidP="007D08F6">
      <w:pPr>
        <w:widowControl w:val="0"/>
        <w:jc w:val="center"/>
        <w:rPr>
          <w:b/>
          <w:snapToGrid w:val="0"/>
          <w:sz w:val="22"/>
          <w:szCs w:val="22"/>
          <w:u w:val="single"/>
          <w:lang w:val="es-MX"/>
        </w:rPr>
      </w:pPr>
    </w:p>
    <w:p w:rsidR="00AE17C4" w:rsidRPr="00AE17C4" w:rsidRDefault="00AE17C4" w:rsidP="007D08F6">
      <w:pPr>
        <w:widowControl w:val="0"/>
        <w:jc w:val="center"/>
        <w:rPr>
          <w:b/>
          <w:snapToGrid w:val="0"/>
          <w:sz w:val="22"/>
          <w:szCs w:val="22"/>
          <w:u w:val="single"/>
          <w:lang w:val="es-MX"/>
        </w:rPr>
      </w:pPr>
    </w:p>
    <w:p w:rsidR="007D08F6" w:rsidRDefault="007D08F6" w:rsidP="007D08F6">
      <w:pPr>
        <w:widowControl w:val="0"/>
        <w:jc w:val="center"/>
        <w:rPr>
          <w:b/>
          <w:snapToGrid w:val="0"/>
          <w:sz w:val="26"/>
          <w:u w:val="single"/>
          <w:lang w:val="es-MX"/>
        </w:rPr>
      </w:pPr>
    </w:p>
    <w:p w:rsidR="007D08F6" w:rsidRDefault="007D08F6" w:rsidP="007D08F6">
      <w:pPr>
        <w:widowControl w:val="0"/>
        <w:jc w:val="center"/>
        <w:rPr>
          <w:b/>
          <w:snapToGrid w:val="0"/>
          <w:sz w:val="26"/>
          <w:lang w:val="es-MX"/>
        </w:rPr>
      </w:pPr>
      <w:r>
        <w:rPr>
          <w:b/>
          <w:snapToGrid w:val="0"/>
          <w:sz w:val="26"/>
          <w:u w:val="single"/>
          <w:lang w:val="es-MX"/>
        </w:rPr>
        <w:lastRenderedPageBreak/>
        <w:t>CARACTERIZACIÓN DEL</w:t>
      </w:r>
      <w:r>
        <w:rPr>
          <w:b/>
          <w:snapToGrid w:val="0"/>
          <w:sz w:val="26"/>
          <w:lang w:val="es-MX"/>
        </w:rPr>
        <w:t xml:space="preserve"> </w:t>
      </w:r>
      <w:r>
        <w:rPr>
          <w:b/>
          <w:snapToGrid w:val="0"/>
          <w:sz w:val="26"/>
          <w:u w:val="single"/>
          <w:lang w:val="es-MX"/>
        </w:rPr>
        <w:t>CURSO</w:t>
      </w:r>
    </w:p>
    <w:p w:rsidR="007D08F6" w:rsidRDefault="007D08F6" w:rsidP="007D08F6">
      <w:pPr>
        <w:widowControl w:val="0"/>
        <w:rPr>
          <w:b/>
          <w:snapToGrid w:val="0"/>
          <w:sz w:val="26"/>
          <w:lang w:val="es-MX"/>
        </w:rPr>
      </w:pPr>
    </w:p>
    <w:p w:rsidR="007D08F6" w:rsidRDefault="007D08F6" w:rsidP="007D08F6">
      <w:pPr>
        <w:widowControl w:val="0"/>
        <w:rPr>
          <w:b/>
          <w:snapToGrid w:val="0"/>
          <w:sz w:val="26"/>
          <w:lang w:val="es-MX"/>
        </w:rPr>
      </w:pPr>
    </w:p>
    <w:p w:rsidR="007D08F6" w:rsidRDefault="007D08F6" w:rsidP="004A5AFC">
      <w:pPr>
        <w:widowControl w:val="0"/>
        <w:tabs>
          <w:tab w:val="left" w:pos="204"/>
        </w:tabs>
        <w:ind w:left="1440" w:hanging="1440"/>
        <w:jc w:val="both"/>
        <w:rPr>
          <w:snapToGrid w:val="0"/>
          <w:sz w:val="24"/>
          <w:lang w:val="es-MX"/>
        </w:rPr>
      </w:pPr>
      <w:r>
        <w:rPr>
          <w:b/>
          <w:snapToGrid w:val="0"/>
          <w:sz w:val="26"/>
          <w:lang w:val="es-MX"/>
        </w:rPr>
        <w:t xml:space="preserve">Dirigido a: </w:t>
      </w:r>
      <w:r>
        <w:rPr>
          <w:b/>
          <w:snapToGrid w:val="0"/>
          <w:sz w:val="26"/>
          <w:lang w:val="es-MX"/>
        </w:rPr>
        <w:tab/>
      </w:r>
      <w:r>
        <w:rPr>
          <w:snapToGrid w:val="0"/>
          <w:sz w:val="24"/>
          <w:lang w:val="es-MX"/>
        </w:rPr>
        <w:t>Médicos y</w:t>
      </w:r>
      <w:r>
        <w:rPr>
          <w:b/>
          <w:snapToGrid w:val="0"/>
          <w:sz w:val="26"/>
          <w:lang w:val="es-MX"/>
        </w:rPr>
        <w:t xml:space="preserve"> </w:t>
      </w:r>
      <w:r>
        <w:rPr>
          <w:snapToGrid w:val="0"/>
          <w:sz w:val="24"/>
          <w:lang w:val="es-MX"/>
        </w:rPr>
        <w:t>psicólogos que hayan terminado Sexología Nivel 1 y 2. Preferiblemente,  instrumentación psicoterapéutica</w:t>
      </w:r>
    </w:p>
    <w:p w:rsidR="007D08F6" w:rsidRDefault="007D08F6" w:rsidP="004A5AFC">
      <w:pPr>
        <w:widowControl w:val="0"/>
        <w:tabs>
          <w:tab w:val="left" w:pos="204"/>
        </w:tabs>
        <w:jc w:val="both"/>
        <w:rPr>
          <w:snapToGrid w:val="0"/>
          <w:sz w:val="24"/>
          <w:lang w:val="es-MX"/>
        </w:rPr>
      </w:pPr>
      <w:r>
        <w:rPr>
          <w:b/>
          <w:snapToGrid w:val="0"/>
          <w:sz w:val="26"/>
          <w:lang w:val="es-MX"/>
        </w:rPr>
        <w:t xml:space="preserve">Duración: </w:t>
      </w:r>
      <w:r w:rsidR="004A5AFC">
        <w:rPr>
          <w:b/>
          <w:snapToGrid w:val="0"/>
          <w:sz w:val="26"/>
          <w:lang w:val="es-MX"/>
        </w:rPr>
        <w:tab/>
      </w:r>
      <w:r>
        <w:rPr>
          <w:snapToGrid w:val="0"/>
          <w:sz w:val="24"/>
          <w:lang w:val="es-MX"/>
        </w:rPr>
        <w:t>2 semestres. De</w:t>
      </w:r>
      <w:r w:rsidR="00F134C0">
        <w:rPr>
          <w:snapToGrid w:val="0"/>
          <w:sz w:val="24"/>
          <w:lang w:val="es-MX"/>
        </w:rPr>
        <w:t xml:space="preserve"> diciembre Marzo a diciembre</w:t>
      </w:r>
    </w:p>
    <w:p w:rsidR="007D08F6" w:rsidRDefault="007D08F6" w:rsidP="004A5AFC">
      <w:pPr>
        <w:widowControl w:val="0"/>
        <w:tabs>
          <w:tab w:val="left" w:pos="204"/>
        </w:tabs>
        <w:jc w:val="both"/>
        <w:rPr>
          <w:snapToGrid w:val="0"/>
          <w:sz w:val="24"/>
          <w:lang w:val="es-MX"/>
        </w:rPr>
      </w:pPr>
      <w:r>
        <w:rPr>
          <w:b/>
          <w:snapToGrid w:val="0"/>
          <w:sz w:val="24"/>
          <w:lang w:val="es-MX"/>
        </w:rPr>
        <w:t>Carga horaria</w:t>
      </w:r>
      <w:r>
        <w:rPr>
          <w:snapToGrid w:val="0"/>
          <w:sz w:val="24"/>
          <w:lang w:val="es-MX"/>
        </w:rPr>
        <w:t xml:space="preserve">: </w:t>
      </w:r>
      <w:r w:rsidR="004A5AFC">
        <w:rPr>
          <w:snapToGrid w:val="0"/>
          <w:sz w:val="24"/>
          <w:lang w:val="es-MX"/>
        </w:rPr>
        <w:t xml:space="preserve">3 hs semanales </w:t>
      </w:r>
    </w:p>
    <w:p w:rsidR="007D08F6" w:rsidRDefault="007D08F6" w:rsidP="004A5AFC">
      <w:pPr>
        <w:widowControl w:val="0"/>
        <w:tabs>
          <w:tab w:val="left" w:pos="1655"/>
        </w:tabs>
        <w:ind w:left="1655" w:hanging="1655"/>
        <w:jc w:val="both"/>
        <w:rPr>
          <w:snapToGrid w:val="0"/>
          <w:sz w:val="26"/>
          <w:lang w:val="es-MX"/>
        </w:rPr>
      </w:pPr>
      <w:r>
        <w:rPr>
          <w:b/>
          <w:snapToGrid w:val="0"/>
          <w:sz w:val="26"/>
          <w:lang w:val="es-MX"/>
        </w:rPr>
        <w:t>Metodología:</w:t>
      </w:r>
      <w:r>
        <w:rPr>
          <w:snapToGrid w:val="0"/>
          <w:sz w:val="24"/>
          <w:lang w:val="es-MX"/>
        </w:rPr>
        <w:tab/>
        <w:t>Clases</w:t>
      </w:r>
      <w:r>
        <w:rPr>
          <w:b/>
          <w:snapToGrid w:val="0"/>
          <w:sz w:val="26"/>
          <w:lang w:val="es-MX"/>
        </w:rPr>
        <w:t xml:space="preserve"> </w:t>
      </w:r>
      <w:r>
        <w:rPr>
          <w:snapToGrid w:val="0"/>
          <w:sz w:val="24"/>
          <w:lang w:val="es-MX"/>
        </w:rPr>
        <w:t>teóricas, ateneos bibliográficos, ateneos clínicos, supervisión de casos, talleres de revisión de actitudes, presentación de casos clínicos, técnicas corporales, autoentrenamiento.</w:t>
      </w:r>
    </w:p>
    <w:p w:rsidR="007D08F6" w:rsidRDefault="007D08F6" w:rsidP="004A5AFC">
      <w:pPr>
        <w:widowControl w:val="0"/>
        <w:tabs>
          <w:tab w:val="left" w:pos="2552"/>
        </w:tabs>
        <w:ind w:left="2552" w:hanging="2552"/>
        <w:jc w:val="both"/>
        <w:rPr>
          <w:snapToGrid w:val="0"/>
          <w:sz w:val="26"/>
          <w:lang w:val="es-MX"/>
        </w:rPr>
      </w:pPr>
      <w:r>
        <w:rPr>
          <w:b/>
          <w:snapToGrid w:val="0"/>
          <w:sz w:val="26"/>
          <w:lang w:val="es-MX"/>
        </w:rPr>
        <w:t xml:space="preserve">Aprobación del curso: </w:t>
      </w:r>
      <w:r>
        <w:rPr>
          <w:snapToGrid w:val="0"/>
          <w:sz w:val="24"/>
          <w:lang w:val="es-MX"/>
        </w:rPr>
        <w:t xml:space="preserve">Presentación de </w:t>
      </w:r>
      <w:r w:rsidR="004A5AFC">
        <w:rPr>
          <w:snapToGrid w:val="0"/>
          <w:sz w:val="24"/>
          <w:u w:val="single"/>
          <w:lang w:val="es-MX"/>
        </w:rPr>
        <w:t>5</w:t>
      </w:r>
      <w:r>
        <w:rPr>
          <w:snapToGrid w:val="0"/>
          <w:sz w:val="24"/>
          <w:u w:val="single"/>
          <w:lang w:val="es-MX"/>
        </w:rPr>
        <w:t xml:space="preserve"> historias clínicas </w:t>
      </w:r>
      <w:r>
        <w:rPr>
          <w:snapToGrid w:val="0"/>
          <w:sz w:val="24"/>
          <w:lang w:val="es-MX"/>
        </w:rPr>
        <w:t xml:space="preserve">comentadas por semestre y </w:t>
      </w:r>
      <w:r>
        <w:rPr>
          <w:snapToGrid w:val="0"/>
          <w:sz w:val="24"/>
          <w:u w:val="single"/>
          <w:lang w:val="es-MX"/>
        </w:rPr>
        <w:t>trabajo de investigación</w:t>
      </w:r>
      <w:r>
        <w:rPr>
          <w:snapToGrid w:val="0"/>
          <w:sz w:val="24"/>
          <w:lang w:val="es-MX"/>
        </w:rPr>
        <w:t xml:space="preserve"> clínica. Asistencia al 80% de las actividades.</w:t>
      </w:r>
    </w:p>
    <w:p w:rsidR="007D08F6" w:rsidRDefault="007D08F6" w:rsidP="004A5AFC">
      <w:pPr>
        <w:widowControl w:val="0"/>
        <w:tabs>
          <w:tab w:val="left" w:pos="1757"/>
        </w:tabs>
        <w:ind w:left="1757" w:hanging="1757"/>
        <w:jc w:val="both"/>
        <w:rPr>
          <w:snapToGrid w:val="0"/>
          <w:sz w:val="24"/>
        </w:rPr>
      </w:pPr>
      <w:r>
        <w:rPr>
          <w:b/>
          <w:snapToGrid w:val="0"/>
          <w:sz w:val="26"/>
        </w:rPr>
        <w:t>Certificación:</w:t>
      </w:r>
      <w:r>
        <w:rPr>
          <w:snapToGrid w:val="0"/>
          <w:sz w:val="26"/>
        </w:rPr>
        <w:tab/>
      </w:r>
      <w:r>
        <w:rPr>
          <w:snapToGrid w:val="0"/>
          <w:sz w:val="24"/>
        </w:rPr>
        <w:t xml:space="preserve">Se ceñirá a los requisitos del Comité de Acreditaciones de </w:t>
      </w:r>
      <w:smartTag w:uri="urn:schemas-microsoft-com:office:smarttags" w:element="PersonName">
        <w:smartTagPr>
          <w:attr w:name="ProductID" w:val="la FLASSES"/>
        </w:smartTagPr>
        <w:r>
          <w:rPr>
            <w:snapToGrid w:val="0"/>
            <w:sz w:val="24"/>
          </w:rPr>
          <w:t>la FLASSES</w:t>
        </w:r>
      </w:smartTag>
      <w:r>
        <w:rPr>
          <w:snapToGrid w:val="0"/>
          <w:sz w:val="24"/>
        </w:rPr>
        <w:t xml:space="preserve"> (Federación Latinoamericana de Sociedades de Sexología y Educación Sexual).</w:t>
      </w:r>
    </w:p>
    <w:p w:rsidR="007D08F6" w:rsidRDefault="007D08F6" w:rsidP="007D08F6">
      <w:pPr>
        <w:widowControl w:val="0"/>
        <w:tabs>
          <w:tab w:val="left" w:pos="1757"/>
        </w:tabs>
        <w:spacing w:line="328" w:lineRule="exact"/>
        <w:jc w:val="both"/>
        <w:rPr>
          <w:snapToGrid w:val="0"/>
          <w:sz w:val="26"/>
          <w:lang w:val="es-MX"/>
        </w:rPr>
      </w:pPr>
    </w:p>
    <w:p w:rsidR="007D08F6" w:rsidRDefault="007D08F6" w:rsidP="007D08F6">
      <w:pPr>
        <w:widowControl w:val="0"/>
        <w:tabs>
          <w:tab w:val="left" w:pos="1757"/>
        </w:tabs>
        <w:spacing w:line="328" w:lineRule="exact"/>
        <w:jc w:val="both"/>
        <w:rPr>
          <w:snapToGrid w:val="0"/>
          <w:sz w:val="26"/>
          <w:lang w:val="es-MX"/>
        </w:rPr>
      </w:pPr>
    </w:p>
    <w:p w:rsidR="007D08F6" w:rsidRDefault="007D08F6" w:rsidP="007D08F6">
      <w:pPr>
        <w:widowControl w:val="0"/>
        <w:tabs>
          <w:tab w:val="left" w:pos="1757"/>
        </w:tabs>
        <w:spacing w:line="328" w:lineRule="exact"/>
        <w:jc w:val="both"/>
        <w:rPr>
          <w:snapToGrid w:val="0"/>
          <w:sz w:val="26"/>
          <w:lang w:val="es-MX"/>
        </w:rPr>
      </w:pPr>
    </w:p>
    <w:p w:rsidR="007D08F6" w:rsidRDefault="007D08F6" w:rsidP="007D08F6">
      <w:pPr>
        <w:widowControl w:val="0"/>
        <w:tabs>
          <w:tab w:val="left" w:pos="1757"/>
        </w:tabs>
        <w:jc w:val="center"/>
        <w:rPr>
          <w:b/>
          <w:snapToGrid w:val="0"/>
          <w:sz w:val="26"/>
          <w:lang w:val="es-MX"/>
        </w:rPr>
      </w:pPr>
      <w:r>
        <w:rPr>
          <w:b/>
          <w:snapToGrid w:val="0"/>
          <w:sz w:val="26"/>
          <w:u w:val="single"/>
          <w:lang w:val="es-MX"/>
        </w:rPr>
        <w:t>PROGRAMA</w:t>
      </w:r>
    </w:p>
    <w:p w:rsidR="007D08F6" w:rsidRDefault="007D08F6" w:rsidP="007D08F6">
      <w:pPr>
        <w:widowControl w:val="0"/>
        <w:tabs>
          <w:tab w:val="left" w:pos="1757"/>
        </w:tabs>
        <w:jc w:val="both"/>
        <w:rPr>
          <w:b/>
          <w:snapToGrid w:val="0"/>
          <w:sz w:val="26"/>
          <w:lang w:val="es-MX"/>
        </w:rPr>
      </w:pPr>
    </w:p>
    <w:p w:rsidR="007D08F6" w:rsidRDefault="007D08F6" w:rsidP="007D08F6">
      <w:pPr>
        <w:widowControl w:val="0"/>
        <w:tabs>
          <w:tab w:val="left" w:pos="317"/>
        </w:tabs>
        <w:spacing w:line="277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4"/>
          <w:lang w:val="es-MX"/>
        </w:rPr>
        <w:t>1.</w:t>
      </w:r>
      <w:r>
        <w:rPr>
          <w:b/>
          <w:snapToGrid w:val="0"/>
          <w:sz w:val="24"/>
          <w:lang w:val="es-MX"/>
        </w:rPr>
        <w:tab/>
      </w:r>
      <w:r>
        <w:rPr>
          <w:snapToGrid w:val="0"/>
          <w:sz w:val="22"/>
          <w:lang w:val="es-MX"/>
        </w:rPr>
        <w:t xml:space="preserve">Presentación. Dinámica de trabajo. </w:t>
      </w:r>
      <w:r>
        <w:rPr>
          <w:snapToGrid w:val="0"/>
          <w:sz w:val="24"/>
          <w:lang w:val="es-MX"/>
        </w:rPr>
        <w:t xml:space="preserve">Programa </w:t>
      </w:r>
      <w:r>
        <w:rPr>
          <w:snapToGrid w:val="0"/>
          <w:sz w:val="22"/>
          <w:lang w:val="es-MX"/>
        </w:rPr>
        <w:t>Bibliografía.</w:t>
      </w:r>
    </w:p>
    <w:p w:rsidR="007D08F6" w:rsidRDefault="007D08F6" w:rsidP="007D08F6">
      <w:pPr>
        <w:widowControl w:val="0"/>
        <w:tabs>
          <w:tab w:val="left" w:pos="317"/>
        </w:tabs>
        <w:spacing w:line="277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17"/>
        </w:tabs>
        <w:spacing w:line="277" w:lineRule="exact"/>
        <w:ind w:left="360" w:hanging="360"/>
        <w:jc w:val="both"/>
        <w:rPr>
          <w:i/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2.</w:t>
      </w:r>
      <w:r>
        <w:rPr>
          <w:snapToGrid w:val="0"/>
          <w:sz w:val="22"/>
          <w:lang w:val="es-MX"/>
        </w:rPr>
        <w:tab/>
        <w:t xml:space="preserve">Estudio analítico y crítico de la respuesta sexual humana. Diversas Líneas y aportes. Énfasis </w:t>
      </w:r>
      <w:r>
        <w:rPr>
          <w:snapToGrid w:val="0"/>
          <w:sz w:val="24"/>
          <w:lang w:val="es-MX"/>
        </w:rPr>
        <w:t xml:space="preserve">en aspectos anatómicos y fisiológicos de </w:t>
      </w:r>
      <w:r>
        <w:rPr>
          <w:snapToGrid w:val="0"/>
          <w:sz w:val="22"/>
          <w:lang w:val="es-MX"/>
        </w:rPr>
        <w:t xml:space="preserve">mayor </w:t>
      </w:r>
      <w:r>
        <w:rPr>
          <w:snapToGrid w:val="0"/>
          <w:sz w:val="24"/>
          <w:lang w:val="es-MX"/>
        </w:rPr>
        <w:t xml:space="preserve">importancia en Sexología Clínica. Revisión sobre mitos </w:t>
      </w:r>
      <w:r>
        <w:rPr>
          <w:snapToGrid w:val="0"/>
          <w:sz w:val="22"/>
          <w:lang w:val="es-MX"/>
        </w:rPr>
        <w:t xml:space="preserve">sobre anatomía sexual, capacidades </w:t>
      </w:r>
      <w:r>
        <w:rPr>
          <w:snapToGrid w:val="0"/>
          <w:sz w:val="24"/>
          <w:lang w:val="es-MX"/>
        </w:rPr>
        <w:t>y rendimientos sexuales.</w:t>
      </w:r>
      <w:r>
        <w:rPr>
          <w:snapToGrid w:val="0"/>
          <w:sz w:val="22"/>
          <w:lang w:val="es-MX"/>
        </w:rPr>
        <w:t xml:space="preserve"> </w:t>
      </w:r>
      <w:r>
        <w:rPr>
          <w:snapToGrid w:val="0"/>
          <w:sz w:val="24"/>
          <w:lang w:val="es-MX"/>
        </w:rPr>
        <w:t xml:space="preserve">Frecuencia sexual. </w:t>
      </w:r>
    </w:p>
    <w:p w:rsidR="007D08F6" w:rsidRDefault="007D08F6" w:rsidP="007D08F6">
      <w:pPr>
        <w:widowControl w:val="0"/>
        <w:tabs>
          <w:tab w:val="left" w:pos="317"/>
        </w:tabs>
        <w:spacing w:line="277" w:lineRule="exact"/>
        <w:jc w:val="both"/>
        <w:rPr>
          <w:i/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6"/>
          <w:lang w:val="es-MX"/>
        </w:rPr>
        <w:t>3.</w:t>
      </w:r>
      <w:r>
        <w:rPr>
          <w:snapToGrid w:val="0"/>
          <w:sz w:val="26"/>
          <w:lang w:val="es-MX"/>
        </w:rPr>
        <w:tab/>
      </w:r>
      <w:r>
        <w:rPr>
          <w:snapToGrid w:val="0"/>
          <w:sz w:val="22"/>
          <w:lang w:val="es-MX"/>
        </w:rPr>
        <w:t xml:space="preserve">La historia clínica sexual. Semejanzas y </w:t>
      </w:r>
      <w:r>
        <w:rPr>
          <w:snapToGrid w:val="0"/>
          <w:sz w:val="24"/>
          <w:lang w:val="es-MX"/>
        </w:rPr>
        <w:t xml:space="preserve">diferencias con la historia médica </w:t>
      </w:r>
      <w:r>
        <w:rPr>
          <w:snapToGrid w:val="0"/>
          <w:sz w:val="22"/>
          <w:lang w:val="es-MX"/>
        </w:rPr>
        <w:t xml:space="preserve">psiquiátrica, psicológica. Historia individual. Historia de la pareja. Tipificación del problema sexual. Seguimiento. Control terapéutico </w:t>
      </w:r>
      <w:r>
        <w:rPr>
          <w:snapToGrid w:val="0"/>
          <w:sz w:val="24"/>
          <w:lang w:val="es-MX"/>
        </w:rPr>
        <w:t xml:space="preserve">en la </w:t>
      </w:r>
      <w:r>
        <w:rPr>
          <w:snapToGrid w:val="0"/>
          <w:sz w:val="22"/>
          <w:lang w:val="es-MX"/>
        </w:rPr>
        <w:t>historia. El secreto profesional.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4.</w:t>
      </w:r>
      <w:r>
        <w:rPr>
          <w:snapToGrid w:val="0"/>
          <w:sz w:val="22"/>
          <w:lang w:val="es-MX"/>
        </w:rPr>
        <w:tab/>
        <w:t xml:space="preserve">Estudio analítico </w:t>
      </w:r>
      <w:r>
        <w:rPr>
          <w:snapToGrid w:val="0"/>
          <w:sz w:val="24"/>
          <w:lang w:val="es-MX"/>
        </w:rPr>
        <w:t xml:space="preserve">y </w:t>
      </w:r>
      <w:r>
        <w:rPr>
          <w:snapToGrid w:val="0"/>
          <w:sz w:val="22"/>
          <w:lang w:val="es-MX"/>
        </w:rPr>
        <w:t xml:space="preserve">crítico </w:t>
      </w:r>
      <w:r>
        <w:rPr>
          <w:snapToGrid w:val="0"/>
          <w:sz w:val="24"/>
          <w:lang w:val="es-MX"/>
        </w:rPr>
        <w:t xml:space="preserve">de las </w:t>
      </w:r>
      <w:r>
        <w:rPr>
          <w:snapToGrid w:val="0"/>
          <w:sz w:val="22"/>
          <w:lang w:val="es-MX"/>
        </w:rPr>
        <w:t xml:space="preserve">disfunciones sexuales. Diversas escuelas </w:t>
      </w:r>
      <w:r>
        <w:rPr>
          <w:snapToGrid w:val="0"/>
          <w:sz w:val="24"/>
          <w:lang w:val="es-MX"/>
        </w:rPr>
        <w:t xml:space="preserve">y </w:t>
      </w:r>
      <w:r>
        <w:rPr>
          <w:snapToGrid w:val="0"/>
          <w:sz w:val="22"/>
          <w:lang w:val="es-MX"/>
        </w:rPr>
        <w:t xml:space="preserve">abordajes. Casos ilustrativos de </w:t>
      </w:r>
      <w:r>
        <w:rPr>
          <w:snapToGrid w:val="0"/>
          <w:sz w:val="24"/>
          <w:lang w:val="es-MX"/>
        </w:rPr>
        <w:t xml:space="preserve">las </w:t>
      </w:r>
      <w:r>
        <w:rPr>
          <w:snapToGrid w:val="0"/>
          <w:sz w:val="22"/>
          <w:lang w:val="es-MX"/>
        </w:rPr>
        <w:t xml:space="preserve">causas inmediatas, </w:t>
      </w:r>
      <w:r>
        <w:rPr>
          <w:snapToGrid w:val="0"/>
          <w:sz w:val="24"/>
          <w:lang w:val="es-MX"/>
        </w:rPr>
        <w:t xml:space="preserve">intrapsíquicas e </w:t>
      </w:r>
      <w:r>
        <w:rPr>
          <w:snapToGrid w:val="0"/>
          <w:sz w:val="22"/>
          <w:lang w:val="es-MX"/>
        </w:rPr>
        <w:t>interaccionales.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ind w:left="360" w:hanging="360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45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4"/>
          <w:lang w:val="es-MX"/>
        </w:rPr>
        <w:t>5.</w:t>
      </w:r>
      <w:r>
        <w:rPr>
          <w:snapToGrid w:val="0"/>
          <w:sz w:val="24"/>
          <w:lang w:val="es-MX"/>
        </w:rPr>
        <w:tab/>
        <w:t xml:space="preserve">Causas </w:t>
      </w:r>
      <w:r>
        <w:rPr>
          <w:snapToGrid w:val="0"/>
          <w:sz w:val="22"/>
          <w:lang w:val="es-MX"/>
        </w:rPr>
        <w:t xml:space="preserve">orgánicas </w:t>
      </w:r>
      <w:r>
        <w:rPr>
          <w:snapToGrid w:val="0"/>
          <w:sz w:val="24"/>
          <w:lang w:val="es-MX"/>
        </w:rPr>
        <w:t xml:space="preserve">de </w:t>
      </w:r>
      <w:r>
        <w:rPr>
          <w:snapToGrid w:val="0"/>
          <w:sz w:val="22"/>
          <w:lang w:val="es-MX"/>
        </w:rPr>
        <w:t xml:space="preserve">las disfunciones. </w:t>
      </w:r>
      <w:r>
        <w:rPr>
          <w:snapToGrid w:val="0"/>
          <w:sz w:val="24"/>
          <w:lang w:val="es-MX"/>
        </w:rPr>
        <w:t xml:space="preserve">Las hormonas. </w:t>
      </w:r>
      <w:r>
        <w:rPr>
          <w:snapToGrid w:val="0"/>
          <w:sz w:val="22"/>
          <w:lang w:val="es-MX"/>
        </w:rPr>
        <w:t xml:space="preserve">Vasculopatías. Diabetes. </w:t>
      </w:r>
      <w:r>
        <w:rPr>
          <w:snapToGrid w:val="0"/>
          <w:sz w:val="24"/>
          <w:lang w:val="es-MX"/>
        </w:rPr>
        <w:t xml:space="preserve">Alcoholismo. </w:t>
      </w:r>
      <w:r>
        <w:rPr>
          <w:snapToGrid w:val="0"/>
          <w:sz w:val="22"/>
          <w:lang w:val="es-MX"/>
        </w:rPr>
        <w:t xml:space="preserve">Drogadicción. Acción de los </w:t>
      </w:r>
      <w:r>
        <w:rPr>
          <w:snapToGrid w:val="0"/>
          <w:sz w:val="24"/>
          <w:lang w:val="es-MX"/>
        </w:rPr>
        <w:t xml:space="preserve">medicamentos </w:t>
      </w:r>
      <w:r>
        <w:rPr>
          <w:snapToGrid w:val="0"/>
          <w:sz w:val="22"/>
          <w:lang w:val="es-MX"/>
        </w:rPr>
        <w:t xml:space="preserve">comunes y especializados. </w:t>
      </w:r>
      <w:r>
        <w:rPr>
          <w:snapToGrid w:val="0"/>
          <w:sz w:val="24"/>
          <w:lang w:val="es-MX"/>
        </w:rPr>
        <w:t xml:space="preserve">Neurología. </w:t>
      </w:r>
      <w:r>
        <w:rPr>
          <w:snapToGrid w:val="0"/>
          <w:sz w:val="22"/>
          <w:lang w:val="es-MX"/>
        </w:rPr>
        <w:t>Enfermedades urológicas y ginecológicas. Proctología. Casos.</w:t>
      </w:r>
    </w:p>
    <w:p w:rsidR="007D08F6" w:rsidRDefault="007D08F6" w:rsidP="007D08F6">
      <w:pPr>
        <w:widowControl w:val="0"/>
        <w:tabs>
          <w:tab w:val="left" w:pos="345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ind w:left="360" w:hanging="360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6.</w:t>
      </w:r>
      <w:r>
        <w:rPr>
          <w:snapToGrid w:val="0"/>
          <w:sz w:val="22"/>
          <w:lang w:val="es-MX"/>
        </w:rPr>
        <w:tab/>
        <w:t xml:space="preserve">Factores etarios. Adolescencia. Disfunciones de </w:t>
      </w:r>
      <w:r>
        <w:rPr>
          <w:snapToGrid w:val="0"/>
          <w:sz w:val="24"/>
          <w:lang w:val="es-MX"/>
        </w:rPr>
        <w:t xml:space="preserve">la iniciación sexual. Fimosis. Climaterio femenino y </w:t>
      </w:r>
      <w:r>
        <w:rPr>
          <w:snapToGrid w:val="0"/>
          <w:sz w:val="22"/>
          <w:lang w:val="es-MX"/>
        </w:rPr>
        <w:t>masculino. Fisiología sexual en la tercera edad. Casos.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ind w:left="360" w:hanging="360"/>
        <w:rPr>
          <w:snapToGrid w:val="0"/>
          <w:sz w:val="24"/>
          <w:lang w:val="es-MX"/>
        </w:rPr>
      </w:pPr>
      <w:r>
        <w:rPr>
          <w:snapToGrid w:val="0"/>
          <w:sz w:val="22"/>
          <w:lang w:val="es-MX"/>
        </w:rPr>
        <w:t>7.</w:t>
      </w:r>
      <w:r>
        <w:rPr>
          <w:snapToGrid w:val="0"/>
          <w:sz w:val="22"/>
          <w:lang w:val="es-MX"/>
        </w:rPr>
        <w:tab/>
        <w:t xml:space="preserve">Tipos de pareja. Perfiles. Sexo sin </w:t>
      </w:r>
      <w:r>
        <w:rPr>
          <w:snapToGrid w:val="0"/>
          <w:sz w:val="24"/>
          <w:lang w:val="es-MX"/>
        </w:rPr>
        <w:t xml:space="preserve">amor. </w:t>
      </w:r>
      <w:r>
        <w:rPr>
          <w:snapToGrid w:val="0"/>
          <w:sz w:val="22"/>
          <w:lang w:val="es-MX"/>
        </w:rPr>
        <w:t xml:space="preserve">infide1idad y </w:t>
      </w:r>
      <w:r>
        <w:rPr>
          <w:snapToGrid w:val="0"/>
          <w:sz w:val="24"/>
          <w:lang w:val="es-MX"/>
        </w:rPr>
        <w:t>sexualidad. Divorcio y nuevas parejas. Trastornos sexuales. La sexualidad de los hijos. Casos.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8.</w:t>
      </w:r>
      <w:r>
        <w:rPr>
          <w:snapToGrid w:val="0"/>
          <w:sz w:val="22"/>
          <w:lang w:val="es-MX"/>
        </w:rPr>
        <w:tab/>
        <w:t>La consulta homosexual. Disfunciones. Actitudes del terapeuta. Casos.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79"/>
        </w:tabs>
        <w:spacing w:line="283" w:lineRule="exact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9.</w:t>
      </w:r>
      <w:r>
        <w:rPr>
          <w:snapToGrid w:val="0"/>
          <w:sz w:val="24"/>
          <w:lang w:val="es-MX"/>
        </w:rPr>
        <w:tab/>
      </w:r>
      <w:r>
        <w:rPr>
          <w:snapToGrid w:val="0"/>
          <w:sz w:val="22"/>
          <w:lang w:val="es-MX"/>
        </w:rPr>
        <w:t xml:space="preserve">El autoerotismo como </w:t>
      </w:r>
      <w:r>
        <w:rPr>
          <w:snapToGrid w:val="0"/>
          <w:sz w:val="24"/>
          <w:lang w:val="es-MX"/>
        </w:rPr>
        <w:t xml:space="preserve">recurso terapéutico. Factores culturales y </w:t>
      </w:r>
      <w:r>
        <w:rPr>
          <w:snapToGrid w:val="0"/>
          <w:sz w:val="22"/>
          <w:lang w:val="es-MX"/>
        </w:rPr>
        <w:t xml:space="preserve">éticos. </w:t>
      </w:r>
      <w:r>
        <w:rPr>
          <w:snapToGrid w:val="0"/>
          <w:sz w:val="24"/>
          <w:lang w:val="es-MX"/>
        </w:rPr>
        <w:t>Casos.</w:t>
      </w:r>
    </w:p>
    <w:p w:rsidR="007D08F6" w:rsidRDefault="007D08F6" w:rsidP="007D08F6">
      <w:pPr>
        <w:widowControl w:val="0"/>
        <w:tabs>
          <w:tab w:val="left" w:pos="379"/>
        </w:tabs>
        <w:spacing w:line="283" w:lineRule="exact"/>
        <w:rPr>
          <w:snapToGrid w:val="0"/>
          <w:sz w:val="24"/>
          <w:lang w:val="es-MX"/>
        </w:rPr>
      </w:pPr>
    </w:p>
    <w:p w:rsidR="007D08F6" w:rsidRDefault="00B83B67" w:rsidP="007D08F6">
      <w:pPr>
        <w:widowControl w:val="0"/>
        <w:tabs>
          <w:tab w:val="left" w:pos="430"/>
        </w:tabs>
        <w:spacing w:line="283" w:lineRule="exact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lastRenderedPageBreak/>
        <w:t>10.</w:t>
      </w:r>
      <w:r>
        <w:rPr>
          <w:snapToGrid w:val="0"/>
          <w:sz w:val="22"/>
          <w:lang w:val="es-MX"/>
        </w:rPr>
        <w:tab/>
        <w:t>ITS</w:t>
      </w:r>
      <w:r w:rsidR="007D08F6">
        <w:rPr>
          <w:snapToGrid w:val="0"/>
          <w:sz w:val="22"/>
          <w:lang w:val="es-MX"/>
        </w:rPr>
        <w:t xml:space="preserve"> y Sida en terapia sexual. Conocimientos y actitudes del terapeuta. Casos.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11.</w:t>
      </w:r>
      <w:r>
        <w:rPr>
          <w:snapToGrid w:val="0"/>
          <w:sz w:val="24"/>
          <w:lang w:val="es-MX"/>
        </w:rPr>
        <w:tab/>
        <w:t>Abordaje clínico de las parafilias. Casos.</w:t>
      </w: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12.</w:t>
      </w:r>
      <w:r>
        <w:rPr>
          <w:snapToGrid w:val="0"/>
          <w:sz w:val="24"/>
          <w:lang w:val="es-MX"/>
        </w:rPr>
        <w:tab/>
        <w:t xml:space="preserve">Sexología </w:t>
      </w:r>
      <w:r>
        <w:rPr>
          <w:snapToGrid w:val="0"/>
          <w:sz w:val="22"/>
          <w:lang w:val="es-MX"/>
        </w:rPr>
        <w:t xml:space="preserve">forense. </w:t>
      </w:r>
      <w:r>
        <w:rPr>
          <w:snapToGrid w:val="0"/>
          <w:sz w:val="24"/>
          <w:lang w:val="es-MX"/>
        </w:rPr>
        <w:t xml:space="preserve">Como </w:t>
      </w:r>
      <w:r>
        <w:rPr>
          <w:snapToGrid w:val="0"/>
          <w:sz w:val="22"/>
          <w:lang w:val="es-MX"/>
        </w:rPr>
        <w:t xml:space="preserve">redactar </w:t>
      </w:r>
      <w:r>
        <w:rPr>
          <w:snapToGrid w:val="0"/>
          <w:sz w:val="24"/>
          <w:lang w:val="es-MX"/>
        </w:rPr>
        <w:t>un informe de valor jurídico. Casos. Modelos.</w:t>
      </w: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379"/>
        </w:tabs>
        <w:spacing w:line="374" w:lineRule="exact"/>
        <w:ind w:left="360" w:hanging="360"/>
        <w:jc w:val="both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13.</w:t>
      </w:r>
      <w:r>
        <w:rPr>
          <w:snapToGrid w:val="0"/>
          <w:sz w:val="24"/>
          <w:lang w:val="es-MX"/>
        </w:rPr>
        <w:tab/>
        <w:t>La terapia sexual Como técnica auxiliar de la psicoterapia. Interdisciplina. Ética profesional. Casos de malpraxis.</w:t>
      </w:r>
    </w:p>
    <w:p w:rsidR="007D08F6" w:rsidRDefault="007D08F6" w:rsidP="007D08F6">
      <w:pPr>
        <w:widowControl w:val="0"/>
        <w:tabs>
          <w:tab w:val="left" w:pos="379"/>
        </w:tabs>
        <w:spacing w:line="374" w:lineRule="exact"/>
        <w:ind w:left="360" w:hanging="360"/>
        <w:jc w:val="both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360"/>
          <w:tab w:val="left" w:pos="436"/>
        </w:tabs>
        <w:spacing w:line="277" w:lineRule="exact"/>
        <w:ind w:left="360" w:hanging="359"/>
        <w:jc w:val="both"/>
        <w:rPr>
          <w:snapToGrid w:val="0"/>
          <w:sz w:val="22"/>
          <w:lang w:val="es-MX"/>
        </w:rPr>
      </w:pPr>
      <w:r>
        <w:rPr>
          <w:snapToGrid w:val="0"/>
          <w:sz w:val="24"/>
          <w:lang w:val="es-MX"/>
        </w:rPr>
        <w:t>14.</w:t>
      </w:r>
      <w:r>
        <w:rPr>
          <w:snapToGrid w:val="0"/>
          <w:sz w:val="24"/>
          <w:lang w:val="es-MX"/>
        </w:rPr>
        <w:tab/>
        <w:t xml:space="preserve">Diagnóstico de caso. Clínico. De laboratorio: </w:t>
      </w:r>
      <w:r>
        <w:rPr>
          <w:snapToGrid w:val="0"/>
          <w:sz w:val="22"/>
          <w:lang w:val="es-MX"/>
        </w:rPr>
        <w:t xml:space="preserve"> Quién puede </w:t>
      </w:r>
      <w:r>
        <w:rPr>
          <w:snapToGrid w:val="0"/>
          <w:sz w:val="24"/>
          <w:lang w:val="es-MX"/>
        </w:rPr>
        <w:t xml:space="preserve">realizar </w:t>
      </w:r>
      <w:r>
        <w:rPr>
          <w:snapToGrid w:val="0"/>
          <w:sz w:val="22"/>
          <w:lang w:val="es-MX"/>
        </w:rPr>
        <w:t xml:space="preserve">el </w:t>
      </w:r>
      <w:r>
        <w:rPr>
          <w:snapToGrid w:val="0"/>
          <w:sz w:val="24"/>
          <w:lang w:val="es-MX"/>
        </w:rPr>
        <w:t xml:space="preserve">examen físico. </w:t>
      </w:r>
      <w:r>
        <w:rPr>
          <w:snapToGrid w:val="0"/>
          <w:sz w:val="22"/>
          <w:lang w:val="es-MX"/>
        </w:rPr>
        <w:t xml:space="preserve">Interconsulta </w:t>
      </w:r>
      <w:r>
        <w:rPr>
          <w:snapToGrid w:val="0"/>
          <w:sz w:val="24"/>
          <w:lang w:val="es-MX"/>
        </w:rPr>
        <w:t xml:space="preserve">obligada </w:t>
      </w:r>
      <w:r>
        <w:rPr>
          <w:snapToGrid w:val="0"/>
          <w:sz w:val="22"/>
          <w:lang w:val="es-MX"/>
        </w:rPr>
        <w:t xml:space="preserve">de terapeutas </w:t>
      </w:r>
      <w:r>
        <w:rPr>
          <w:snapToGrid w:val="0"/>
          <w:sz w:val="24"/>
          <w:lang w:val="es-MX"/>
        </w:rPr>
        <w:t xml:space="preserve">médicos y no médicos. Laboratorio. Qué </w:t>
      </w:r>
      <w:r>
        <w:rPr>
          <w:snapToGrid w:val="0"/>
          <w:sz w:val="22"/>
          <w:lang w:val="es-MX"/>
        </w:rPr>
        <w:t xml:space="preserve">estudios se piden y </w:t>
      </w:r>
      <w:r>
        <w:rPr>
          <w:snapToGrid w:val="0"/>
          <w:sz w:val="24"/>
          <w:lang w:val="es-MX"/>
        </w:rPr>
        <w:t xml:space="preserve">porqué. </w:t>
      </w:r>
      <w:r>
        <w:rPr>
          <w:snapToGrid w:val="0"/>
          <w:sz w:val="22"/>
          <w:lang w:val="es-MX"/>
        </w:rPr>
        <w:t>Visita a Centros de Diagnóstico.</w:t>
      </w:r>
    </w:p>
    <w:p w:rsidR="007D08F6" w:rsidRDefault="007D08F6" w:rsidP="007D08F6">
      <w:pPr>
        <w:widowControl w:val="0"/>
        <w:tabs>
          <w:tab w:val="left" w:pos="204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24"/>
          <w:lang w:val="es-MX"/>
        </w:rPr>
      </w:pPr>
      <w:r>
        <w:rPr>
          <w:snapToGrid w:val="0"/>
          <w:sz w:val="22"/>
          <w:lang w:val="es-MX"/>
        </w:rPr>
        <w:t>15.</w:t>
      </w:r>
      <w:r>
        <w:rPr>
          <w:snapToGrid w:val="0"/>
          <w:sz w:val="22"/>
          <w:lang w:val="es-MX"/>
        </w:rPr>
        <w:tab/>
        <w:t xml:space="preserve">Casos de </w:t>
      </w:r>
      <w:r>
        <w:rPr>
          <w:snapToGrid w:val="0"/>
          <w:sz w:val="24"/>
          <w:lang w:val="es-MX"/>
        </w:rPr>
        <w:t xml:space="preserve">disfunción </w:t>
      </w:r>
      <w:r>
        <w:rPr>
          <w:snapToGrid w:val="0"/>
          <w:sz w:val="22"/>
          <w:lang w:val="es-MX"/>
        </w:rPr>
        <w:t xml:space="preserve">del deseo masculina y femenina. Técnicas específicas. Material gráfico. Uso </w:t>
      </w:r>
      <w:r>
        <w:rPr>
          <w:snapToGrid w:val="0"/>
          <w:sz w:val="24"/>
          <w:lang w:val="es-MX"/>
        </w:rPr>
        <w:t xml:space="preserve">de </w:t>
      </w:r>
      <w:r>
        <w:rPr>
          <w:snapToGrid w:val="0"/>
          <w:sz w:val="22"/>
          <w:lang w:val="es-MX"/>
        </w:rPr>
        <w:t>fantasías. Limitaciones y riesgos. Medicamentos. Terapias individuales. Der</w:t>
      </w:r>
      <w:r>
        <w:rPr>
          <w:snapToGrid w:val="0"/>
          <w:sz w:val="24"/>
          <w:lang w:val="es-MX"/>
        </w:rPr>
        <w:t>ivación.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204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 xml:space="preserve">16. </w:t>
      </w:r>
      <w:r>
        <w:rPr>
          <w:snapToGrid w:val="0"/>
          <w:sz w:val="24"/>
          <w:lang w:val="es-MX"/>
        </w:rPr>
        <w:t xml:space="preserve">Casos de </w:t>
      </w:r>
      <w:r>
        <w:rPr>
          <w:snapToGrid w:val="0"/>
          <w:sz w:val="22"/>
          <w:lang w:val="es-MX"/>
        </w:rPr>
        <w:t xml:space="preserve">frecuencia excesivamente </w:t>
      </w:r>
      <w:r>
        <w:rPr>
          <w:snapToGrid w:val="0"/>
          <w:sz w:val="24"/>
          <w:lang w:val="es-MX"/>
        </w:rPr>
        <w:t xml:space="preserve">alta </w:t>
      </w:r>
      <w:r>
        <w:rPr>
          <w:snapToGrid w:val="0"/>
          <w:sz w:val="22"/>
          <w:lang w:val="es-MX"/>
        </w:rPr>
        <w:t xml:space="preserve">en </w:t>
      </w:r>
      <w:r>
        <w:rPr>
          <w:snapToGrid w:val="0"/>
          <w:sz w:val="24"/>
          <w:lang w:val="es-MX"/>
        </w:rPr>
        <w:t xml:space="preserve">varones </w:t>
      </w:r>
      <w:r>
        <w:rPr>
          <w:snapToGrid w:val="0"/>
          <w:sz w:val="22"/>
          <w:lang w:val="es-MX"/>
        </w:rPr>
        <w:t xml:space="preserve">y mujeres. Parejas </w:t>
      </w:r>
      <w:r>
        <w:rPr>
          <w:snapToGrid w:val="0"/>
          <w:sz w:val="24"/>
          <w:lang w:val="es-MX"/>
        </w:rPr>
        <w:t xml:space="preserve">con </w:t>
      </w:r>
      <w:r>
        <w:rPr>
          <w:snapToGrid w:val="0"/>
          <w:sz w:val="22"/>
          <w:lang w:val="es-MX"/>
        </w:rPr>
        <w:t>frecuencia desigu</w:t>
      </w:r>
      <w:r>
        <w:rPr>
          <w:snapToGrid w:val="0"/>
          <w:sz w:val="24"/>
          <w:lang w:val="es-MX"/>
        </w:rPr>
        <w:t xml:space="preserve">al </w:t>
      </w:r>
      <w:r>
        <w:rPr>
          <w:snapToGrid w:val="0"/>
          <w:sz w:val="22"/>
          <w:lang w:val="es-MX"/>
        </w:rPr>
        <w:t>del deseo sexual.</w:t>
      </w:r>
    </w:p>
    <w:p w:rsidR="007D08F6" w:rsidRDefault="007D08F6" w:rsidP="007D08F6">
      <w:pPr>
        <w:widowControl w:val="0"/>
        <w:tabs>
          <w:tab w:val="left" w:pos="204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17.</w:t>
      </w:r>
      <w:r>
        <w:rPr>
          <w:snapToGrid w:val="0"/>
          <w:sz w:val="22"/>
          <w:lang w:val="es-MX"/>
        </w:rPr>
        <w:tab/>
      </w:r>
      <w:r>
        <w:rPr>
          <w:snapToGrid w:val="0"/>
          <w:sz w:val="24"/>
          <w:lang w:val="es-MX"/>
        </w:rPr>
        <w:t xml:space="preserve">Casos </w:t>
      </w:r>
      <w:r>
        <w:rPr>
          <w:snapToGrid w:val="0"/>
          <w:sz w:val="22"/>
          <w:lang w:val="es-MX"/>
        </w:rPr>
        <w:t xml:space="preserve">de anorgasmia femenina. Placereado 1, </w:t>
      </w:r>
      <w:r>
        <w:rPr>
          <w:snapToGrid w:val="0"/>
          <w:sz w:val="24"/>
          <w:lang w:val="es-MX"/>
        </w:rPr>
        <w:t xml:space="preserve">11 </w:t>
      </w:r>
      <w:r>
        <w:rPr>
          <w:snapToGrid w:val="0"/>
          <w:sz w:val="22"/>
          <w:lang w:val="es-MX"/>
        </w:rPr>
        <w:t xml:space="preserve">y III. Indicación práctica. Resistencias y dificultades. Ejercicios de Kegel en </w:t>
      </w:r>
      <w:r>
        <w:rPr>
          <w:snapToGrid w:val="0"/>
          <w:sz w:val="24"/>
          <w:lang w:val="es-MX"/>
        </w:rPr>
        <w:t xml:space="preserve">la mujer. </w:t>
      </w:r>
      <w:r>
        <w:rPr>
          <w:snapToGrid w:val="0"/>
          <w:sz w:val="22"/>
          <w:lang w:val="es-MX"/>
        </w:rPr>
        <w:t xml:space="preserve">La terapeuta </w:t>
      </w:r>
      <w:r>
        <w:rPr>
          <w:snapToGrid w:val="0"/>
          <w:sz w:val="24"/>
          <w:lang w:val="es-MX"/>
        </w:rPr>
        <w:t xml:space="preserve">femenina </w:t>
      </w:r>
      <w:r>
        <w:rPr>
          <w:snapToGrid w:val="0"/>
          <w:sz w:val="22"/>
          <w:lang w:val="es-MX"/>
        </w:rPr>
        <w:t xml:space="preserve">debe autoentrenarse </w:t>
      </w:r>
      <w:r>
        <w:rPr>
          <w:snapToGrid w:val="0"/>
          <w:sz w:val="24"/>
          <w:lang w:val="es-MX"/>
        </w:rPr>
        <w:t xml:space="preserve">en la </w:t>
      </w:r>
      <w:r>
        <w:rPr>
          <w:snapToGrid w:val="0"/>
          <w:sz w:val="22"/>
          <w:lang w:val="es-MX"/>
        </w:rPr>
        <w:t xml:space="preserve">técnica obligatoriamente. Los disparadores orgásmicos. Tipos de orgasmo </w:t>
      </w:r>
      <w:r>
        <w:rPr>
          <w:snapToGrid w:val="0"/>
          <w:sz w:val="24"/>
          <w:lang w:val="es-MX"/>
        </w:rPr>
        <w:t xml:space="preserve">femenino. </w:t>
      </w:r>
      <w:r>
        <w:rPr>
          <w:snapToGrid w:val="0"/>
          <w:sz w:val="22"/>
          <w:lang w:val="es-MX"/>
        </w:rPr>
        <w:t xml:space="preserve">El placer como </w:t>
      </w:r>
      <w:r>
        <w:rPr>
          <w:snapToGrid w:val="0"/>
          <w:sz w:val="24"/>
          <w:lang w:val="es-MX"/>
        </w:rPr>
        <w:t xml:space="preserve">problema </w:t>
      </w:r>
      <w:r>
        <w:rPr>
          <w:snapToGrid w:val="0"/>
          <w:sz w:val="22"/>
          <w:lang w:val="es-MX"/>
        </w:rPr>
        <w:t>cultural.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18.</w:t>
      </w:r>
      <w:r>
        <w:rPr>
          <w:snapToGrid w:val="0"/>
          <w:sz w:val="24"/>
          <w:lang w:val="es-MX"/>
        </w:rPr>
        <w:tab/>
      </w:r>
      <w:r>
        <w:rPr>
          <w:snapToGrid w:val="0"/>
          <w:sz w:val="22"/>
          <w:lang w:val="es-MX"/>
        </w:rPr>
        <w:t>Casos de anorgasmia masculina. Diagnóstico diferencial con</w:t>
      </w:r>
      <w:r>
        <w:rPr>
          <w:b/>
          <w:snapToGrid w:val="0"/>
          <w:sz w:val="16"/>
          <w:lang w:val="es-MX"/>
        </w:rPr>
        <w:t xml:space="preserve"> </w:t>
      </w:r>
      <w:r>
        <w:rPr>
          <w:snapToGrid w:val="0"/>
          <w:sz w:val="24"/>
          <w:lang w:val="es-MX"/>
        </w:rPr>
        <w:t xml:space="preserve">causas orgásmicas. La </w:t>
      </w:r>
      <w:r>
        <w:rPr>
          <w:snapToGrid w:val="0"/>
          <w:sz w:val="22"/>
          <w:lang w:val="es-MX"/>
        </w:rPr>
        <w:t xml:space="preserve">edad. Lo </w:t>
      </w:r>
      <w:r>
        <w:rPr>
          <w:snapToGrid w:val="0"/>
          <w:sz w:val="24"/>
          <w:lang w:val="es-MX"/>
        </w:rPr>
        <w:t xml:space="preserve">selectivo. </w:t>
      </w:r>
      <w:r>
        <w:rPr>
          <w:snapToGrid w:val="0"/>
          <w:sz w:val="22"/>
          <w:lang w:val="es-MX"/>
        </w:rPr>
        <w:t xml:space="preserve">La masturbación como recurso terapéutico. Discusión sobre diferentes posturas. Técnica </w:t>
      </w:r>
      <w:r>
        <w:rPr>
          <w:snapToGrid w:val="0"/>
          <w:sz w:val="24"/>
          <w:lang w:val="es-MX"/>
        </w:rPr>
        <w:t>específica. Fantasías. Placereado. Psicoterapias. Medicamentos.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379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4"/>
          <w:lang w:val="es-MX"/>
        </w:rPr>
        <w:t>19.</w:t>
      </w:r>
      <w:r>
        <w:rPr>
          <w:b/>
          <w:snapToGrid w:val="0"/>
          <w:sz w:val="24"/>
          <w:lang w:val="es-MX"/>
        </w:rPr>
        <w:tab/>
      </w:r>
      <w:r>
        <w:rPr>
          <w:snapToGrid w:val="0"/>
          <w:sz w:val="24"/>
          <w:lang w:val="es-MX"/>
        </w:rPr>
        <w:t xml:space="preserve">Casos de eyaculación precoz. El Método Semans. Ejercicios de Kegel. </w:t>
      </w:r>
      <w:r>
        <w:rPr>
          <w:snapToGrid w:val="0"/>
          <w:sz w:val="22"/>
          <w:lang w:val="es-MX"/>
        </w:rPr>
        <w:t xml:space="preserve">Stop Start Técnicas de </w:t>
      </w:r>
      <w:r>
        <w:rPr>
          <w:snapToGrid w:val="0"/>
          <w:sz w:val="24"/>
          <w:lang w:val="es-MX"/>
        </w:rPr>
        <w:t xml:space="preserve">relajación. </w:t>
      </w:r>
      <w:r>
        <w:rPr>
          <w:snapToGrid w:val="0"/>
          <w:sz w:val="22"/>
          <w:lang w:val="es-MX"/>
        </w:rPr>
        <w:t xml:space="preserve">Control de </w:t>
      </w:r>
      <w:r>
        <w:rPr>
          <w:snapToGrid w:val="0"/>
          <w:sz w:val="24"/>
          <w:lang w:val="es-MX"/>
        </w:rPr>
        <w:t xml:space="preserve">la ansiedad. Medicamentos. Anestésicos. Preservativos. Tipos. Nuevas </w:t>
      </w:r>
      <w:r>
        <w:rPr>
          <w:snapToGrid w:val="0"/>
          <w:sz w:val="22"/>
          <w:lang w:val="es-MX"/>
        </w:rPr>
        <w:t>técnicas.</w:t>
      </w:r>
    </w:p>
    <w:p w:rsidR="007D08F6" w:rsidRDefault="007D08F6" w:rsidP="007D08F6">
      <w:pPr>
        <w:widowControl w:val="0"/>
        <w:tabs>
          <w:tab w:val="left" w:pos="379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14"/>
          <w:lang w:val="es-MX"/>
        </w:rPr>
      </w:pPr>
      <w:r>
        <w:rPr>
          <w:snapToGrid w:val="0"/>
          <w:sz w:val="22"/>
          <w:lang w:val="es-MX"/>
        </w:rPr>
        <w:t>20.</w:t>
      </w:r>
      <w:r>
        <w:rPr>
          <w:snapToGrid w:val="0"/>
          <w:sz w:val="22"/>
          <w:lang w:val="es-MX"/>
        </w:rPr>
        <w:tab/>
      </w:r>
      <w:r>
        <w:rPr>
          <w:snapToGrid w:val="0"/>
          <w:sz w:val="24"/>
          <w:lang w:val="es-MX"/>
        </w:rPr>
        <w:t xml:space="preserve">Casos </w:t>
      </w:r>
      <w:r>
        <w:rPr>
          <w:snapToGrid w:val="0"/>
          <w:sz w:val="22"/>
          <w:lang w:val="es-MX"/>
        </w:rPr>
        <w:t xml:space="preserve">de </w:t>
      </w:r>
      <w:r>
        <w:rPr>
          <w:snapToGrid w:val="0"/>
          <w:sz w:val="24"/>
          <w:lang w:val="es-MX"/>
        </w:rPr>
        <w:t xml:space="preserve">inhibición </w:t>
      </w:r>
      <w:r>
        <w:rPr>
          <w:snapToGrid w:val="0"/>
          <w:sz w:val="22"/>
          <w:lang w:val="es-MX"/>
        </w:rPr>
        <w:t xml:space="preserve">excitatoria femenina. Las causas orgánicas. </w:t>
      </w:r>
      <w:r>
        <w:rPr>
          <w:snapToGrid w:val="0"/>
          <w:sz w:val="24"/>
          <w:lang w:val="es-MX"/>
        </w:rPr>
        <w:t xml:space="preserve">La </w:t>
      </w:r>
      <w:r>
        <w:rPr>
          <w:snapToGrid w:val="0"/>
          <w:sz w:val="22"/>
          <w:lang w:val="es-MX"/>
        </w:rPr>
        <w:t>estimulación eficaz. Técnicas de enriquecim</w:t>
      </w:r>
      <w:r>
        <w:rPr>
          <w:snapToGrid w:val="0"/>
          <w:sz w:val="24"/>
          <w:lang w:val="es-MX"/>
        </w:rPr>
        <w:t xml:space="preserve">iento </w:t>
      </w:r>
      <w:r>
        <w:rPr>
          <w:snapToGrid w:val="0"/>
          <w:sz w:val="22"/>
          <w:lang w:val="es-MX"/>
        </w:rPr>
        <w:t>sexual. U</w:t>
      </w:r>
      <w:r>
        <w:rPr>
          <w:snapToGrid w:val="0"/>
          <w:sz w:val="24"/>
          <w:lang w:val="es-MX"/>
        </w:rPr>
        <w:t xml:space="preserve">so </w:t>
      </w:r>
      <w:r>
        <w:rPr>
          <w:snapToGrid w:val="0"/>
          <w:sz w:val="22"/>
          <w:lang w:val="es-MX"/>
        </w:rPr>
        <w:t xml:space="preserve">de ayudas sexuales. Cremas. Hormonoterapia. </w:t>
      </w:r>
      <w:r>
        <w:rPr>
          <w:snapToGrid w:val="0"/>
          <w:sz w:val="24"/>
          <w:lang w:val="es-MX"/>
        </w:rPr>
        <w:t>Placereado.</w:t>
      </w:r>
    </w:p>
    <w:p w:rsidR="007D08F6" w:rsidRDefault="007D08F6" w:rsidP="007D08F6">
      <w:pPr>
        <w:widowControl w:val="0"/>
        <w:tabs>
          <w:tab w:val="left" w:pos="204"/>
        </w:tabs>
        <w:jc w:val="both"/>
        <w:rPr>
          <w:snapToGrid w:val="0"/>
          <w:sz w:val="14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21.</w:t>
      </w:r>
      <w:r>
        <w:rPr>
          <w:snapToGrid w:val="0"/>
          <w:sz w:val="22"/>
          <w:lang w:val="es-MX"/>
        </w:rPr>
        <w:tab/>
        <w:t xml:space="preserve">Casos de disfunción eréctil. Descartar </w:t>
      </w:r>
      <w:r>
        <w:rPr>
          <w:snapToGrid w:val="0"/>
          <w:sz w:val="24"/>
          <w:lang w:val="es-MX"/>
        </w:rPr>
        <w:t xml:space="preserve">causas orgánicas. Placereado 1, II </w:t>
      </w:r>
      <w:r>
        <w:rPr>
          <w:snapToGrid w:val="0"/>
          <w:sz w:val="22"/>
          <w:lang w:val="es-MX"/>
        </w:rPr>
        <w:t xml:space="preserve">y 111. Ejercicios de Kegel. El terapeuta varón debe autoentrenarse </w:t>
      </w:r>
      <w:r>
        <w:rPr>
          <w:snapToGrid w:val="0"/>
          <w:sz w:val="24"/>
          <w:lang w:val="es-MX"/>
        </w:rPr>
        <w:t xml:space="preserve">en la </w:t>
      </w:r>
      <w:r>
        <w:rPr>
          <w:snapToGrid w:val="0"/>
          <w:sz w:val="22"/>
          <w:lang w:val="es-MX"/>
        </w:rPr>
        <w:t xml:space="preserve">técnica obligatoriamente. </w:t>
      </w:r>
      <w:r>
        <w:rPr>
          <w:snapToGrid w:val="0"/>
          <w:sz w:val="24"/>
          <w:lang w:val="es-MX"/>
        </w:rPr>
        <w:t xml:space="preserve">Valor </w:t>
      </w:r>
      <w:r>
        <w:rPr>
          <w:snapToGrid w:val="0"/>
          <w:sz w:val="22"/>
          <w:lang w:val="es-MX"/>
        </w:rPr>
        <w:t xml:space="preserve">de </w:t>
      </w:r>
      <w:r>
        <w:rPr>
          <w:snapToGrid w:val="0"/>
          <w:sz w:val="24"/>
          <w:lang w:val="es-MX"/>
        </w:rPr>
        <w:t xml:space="preserve">las porno-ayudas. </w:t>
      </w:r>
      <w:r>
        <w:rPr>
          <w:snapToGrid w:val="0"/>
          <w:sz w:val="22"/>
          <w:lang w:val="es-MX"/>
        </w:rPr>
        <w:t xml:space="preserve">Posición </w:t>
      </w:r>
      <w:r>
        <w:rPr>
          <w:snapToGrid w:val="0"/>
          <w:sz w:val="24"/>
          <w:lang w:val="es-MX"/>
        </w:rPr>
        <w:t xml:space="preserve">de disponibilidad. La </w:t>
      </w:r>
      <w:r>
        <w:rPr>
          <w:snapToGrid w:val="0"/>
          <w:sz w:val="22"/>
          <w:lang w:val="es-MX"/>
        </w:rPr>
        <w:t>ansiedad coital. El valor del juego previo. Vacaciones. Impotencia selectiva.</w:t>
      </w:r>
    </w:p>
    <w:p w:rsidR="007D08F6" w:rsidRDefault="007D08F6" w:rsidP="007D08F6">
      <w:pPr>
        <w:widowControl w:val="0"/>
        <w:tabs>
          <w:tab w:val="left" w:pos="204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ind w:left="360" w:hanging="360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22.</w:t>
      </w:r>
      <w:r>
        <w:rPr>
          <w:snapToGrid w:val="0"/>
          <w:sz w:val="22"/>
          <w:lang w:val="es-MX"/>
        </w:rPr>
        <w:tab/>
        <w:t xml:space="preserve">Casos de </w:t>
      </w:r>
      <w:r>
        <w:rPr>
          <w:snapToGrid w:val="0"/>
          <w:sz w:val="24"/>
          <w:lang w:val="es-MX"/>
        </w:rPr>
        <w:t xml:space="preserve">vaginismo. </w:t>
      </w:r>
      <w:r>
        <w:rPr>
          <w:snapToGrid w:val="0"/>
          <w:sz w:val="22"/>
          <w:lang w:val="es-MX"/>
        </w:rPr>
        <w:t xml:space="preserve">Terapia específica. </w:t>
      </w:r>
      <w:r>
        <w:rPr>
          <w:snapToGrid w:val="0"/>
          <w:sz w:val="24"/>
          <w:lang w:val="es-MX"/>
        </w:rPr>
        <w:t xml:space="preserve">Uso </w:t>
      </w:r>
      <w:r>
        <w:rPr>
          <w:snapToGrid w:val="0"/>
          <w:sz w:val="22"/>
          <w:lang w:val="es-MX"/>
        </w:rPr>
        <w:t>de ayudas sexuales. Tampones. Técnicas iatrógenas. Errores terapéuticos frecuentes.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23.</w:t>
      </w:r>
      <w:r>
        <w:rPr>
          <w:snapToGrid w:val="0"/>
          <w:sz w:val="22"/>
          <w:lang w:val="es-MX"/>
        </w:rPr>
        <w:tab/>
      </w:r>
      <w:r>
        <w:rPr>
          <w:snapToGrid w:val="0"/>
          <w:sz w:val="24"/>
          <w:lang w:val="es-MX"/>
        </w:rPr>
        <w:t xml:space="preserve">Casos </w:t>
      </w:r>
      <w:r>
        <w:rPr>
          <w:snapToGrid w:val="0"/>
          <w:sz w:val="22"/>
          <w:lang w:val="es-MX"/>
        </w:rPr>
        <w:t>de otras disfunciones por espasmo de los músculos genitales.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24.</w:t>
      </w:r>
      <w:r>
        <w:rPr>
          <w:snapToGrid w:val="0"/>
          <w:sz w:val="22"/>
          <w:lang w:val="es-MX"/>
        </w:rPr>
        <w:tab/>
        <w:t>Dispareunia. I</w:t>
      </w:r>
      <w:r>
        <w:rPr>
          <w:snapToGrid w:val="0"/>
          <w:sz w:val="24"/>
          <w:lang w:val="es-MX"/>
        </w:rPr>
        <w:t xml:space="preserve">nterconsulta </w:t>
      </w:r>
      <w:r>
        <w:rPr>
          <w:snapToGrid w:val="0"/>
          <w:sz w:val="22"/>
          <w:lang w:val="es-MX"/>
        </w:rPr>
        <w:t>por causas orgánicas. Técnicas específicas.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25.</w:t>
      </w:r>
      <w:r>
        <w:rPr>
          <w:snapToGrid w:val="0"/>
          <w:sz w:val="22"/>
          <w:lang w:val="es-MX"/>
        </w:rPr>
        <w:tab/>
        <w:t>Fobias sexuales. Técnicas específicas.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26.</w:t>
      </w:r>
      <w:r>
        <w:rPr>
          <w:snapToGrid w:val="0"/>
          <w:sz w:val="22"/>
          <w:lang w:val="es-MX"/>
        </w:rPr>
        <w:tab/>
        <w:t xml:space="preserve">El </w:t>
      </w:r>
      <w:r>
        <w:rPr>
          <w:snapToGrid w:val="0"/>
          <w:sz w:val="24"/>
          <w:lang w:val="es-MX"/>
        </w:rPr>
        <w:t xml:space="preserve">valor de la </w:t>
      </w:r>
      <w:r>
        <w:rPr>
          <w:snapToGrid w:val="0"/>
          <w:sz w:val="22"/>
          <w:lang w:val="es-MX"/>
        </w:rPr>
        <w:t>expresión corporal en Sexología. Indicaciones. Técnicas orientales.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60"/>
        </w:tabs>
        <w:spacing w:line="277" w:lineRule="exact"/>
        <w:ind w:left="360" w:hanging="359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27.   Transexuali</w:t>
      </w:r>
      <w:r>
        <w:rPr>
          <w:snapToGrid w:val="0"/>
          <w:sz w:val="24"/>
          <w:lang w:val="es-MX"/>
        </w:rPr>
        <w:t xml:space="preserve">dad. </w:t>
      </w:r>
      <w:r>
        <w:rPr>
          <w:snapToGrid w:val="0"/>
          <w:sz w:val="22"/>
          <w:lang w:val="es-MX"/>
        </w:rPr>
        <w:t xml:space="preserve">Diagnóstico. Indicación de </w:t>
      </w:r>
      <w:r>
        <w:rPr>
          <w:snapToGrid w:val="0"/>
          <w:sz w:val="24"/>
          <w:lang w:val="es-MX"/>
        </w:rPr>
        <w:t xml:space="preserve">cambio </w:t>
      </w:r>
      <w:r>
        <w:rPr>
          <w:snapToGrid w:val="0"/>
          <w:sz w:val="22"/>
          <w:lang w:val="es-MX"/>
        </w:rPr>
        <w:t xml:space="preserve">de sexo. </w:t>
      </w:r>
      <w:r>
        <w:rPr>
          <w:snapToGrid w:val="0"/>
          <w:sz w:val="24"/>
          <w:lang w:val="es-MX"/>
        </w:rPr>
        <w:t>Acompañamiento pre</w:t>
      </w:r>
      <w:r>
        <w:rPr>
          <w:snapToGrid w:val="0"/>
          <w:sz w:val="22"/>
          <w:lang w:val="es-MX"/>
        </w:rPr>
        <w:t>vio y posterior. Aspectos éticos y legales.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28.</w:t>
      </w:r>
      <w:r>
        <w:rPr>
          <w:snapToGrid w:val="0"/>
          <w:sz w:val="22"/>
          <w:lang w:val="es-MX"/>
        </w:rPr>
        <w:tab/>
        <w:t>Tratamientos medicamentosos. Quién puede indicarlos. Iatrogenia y prevención.</w:t>
      </w:r>
    </w:p>
    <w:p w:rsidR="007D08F6" w:rsidRDefault="007D08F6" w:rsidP="007D08F6">
      <w:pPr>
        <w:widowControl w:val="0"/>
        <w:tabs>
          <w:tab w:val="left" w:pos="334"/>
        </w:tabs>
        <w:spacing w:line="272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ind w:left="360" w:hanging="360"/>
        <w:jc w:val="both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29.</w:t>
      </w:r>
      <w:r>
        <w:rPr>
          <w:b/>
          <w:snapToGrid w:val="0"/>
          <w:sz w:val="24"/>
          <w:lang w:val="es-MX"/>
        </w:rPr>
        <w:tab/>
      </w:r>
      <w:r>
        <w:rPr>
          <w:snapToGrid w:val="0"/>
          <w:sz w:val="24"/>
          <w:lang w:val="es-MX"/>
        </w:rPr>
        <w:t>Tratamientos quirúrgicos. Revascularización, prótesis, otras. Visita a centros. Indicaciones y contraindicaciones. Errores frecuentes.</w:t>
      </w:r>
    </w:p>
    <w:p w:rsidR="007D08F6" w:rsidRDefault="007D08F6" w:rsidP="007D08F6">
      <w:pPr>
        <w:widowControl w:val="0"/>
        <w:tabs>
          <w:tab w:val="left" w:pos="402"/>
        </w:tabs>
        <w:spacing w:line="283" w:lineRule="exact"/>
        <w:jc w:val="both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368"/>
        </w:tabs>
        <w:spacing w:line="283" w:lineRule="exact"/>
        <w:ind w:left="360" w:hanging="360"/>
        <w:jc w:val="both"/>
        <w:rPr>
          <w:snapToGrid w:val="0"/>
          <w:sz w:val="24"/>
          <w:lang w:val="es-MX"/>
        </w:rPr>
      </w:pPr>
      <w:r>
        <w:rPr>
          <w:snapToGrid w:val="0"/>
          <w:sz w:val="24"/>
          <w:lang w:val="es-MX"/>
        </w:rPr>
        <w:t>30.</w:t>
      </w:r>
      <w:r>
        <w:rPr>
          <w:snapToGrid w:val="0"/>
          <w:sz w:val="24"/>
          <w:lang w:val="es-MX"/>
        </w:rPr>
        <w:tab/>
        <w:t xml:space="preserve">La revisión de actitudes o Reestructuración de las Actitudes sexuales (ERAS) del terapeuta sexual. Supervisión necesaria inicial, la formación </w:t>
      </w:r>
      <w:r>
        <w:rPr>
          <w:snapToGrid w:val="0"/>
          <w:sz w:val="22"/>
          <w:lang w:val="es-MX"/>
        </w:rPr>
        <w:t xml:space="preserve">de </w:t>
      </w:r>
      <w:r>
        <w:rPr>
          <w:snapToGrid w:val="0"/>
          <w:sz w:val="24"/>
          <w:lang w:val="es-MX"/>
        </w:rPr>
        <w:t>equipos.</w:t>
      </w:r>
    </w:p>
    <w:p w:rsidR="007D08F6" w:rsidRDefault="007D08F6" w:rsidP="007D08F6">
      <w:pPr>
        <w:widowControl w:val="0"/>
        <w:tabs>
          <w:tab w:val="left" w:pos="368"/>
        </w:tabs>
        <w:spacing w:line="283" w:lineRule="exact"/>
        <w:jc w:val="both"/>
        <w:rPr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  <w:r>
        <w:rPr>
          <w:snapToGrid w:val="0"/>
          <w:sz w:val="22"/>
          <w:lang w:val="es-MX"/>
        </w:rPr>
        <w:t>31.</w:t>
      </w:r>
      <w:r>
        <w:rPr>
          <w:snapToGrid w:val="0"/>
          <w:sz w:val="22"/>
          <w:lang w:val="es-MX"/>
        </w:rPr>
        <w:tab/>
      </w:r>
      <w:r>
        <w:rPr>
          <w:snapToGrid w:val="0"/>
          <w:sz w:val="24"/>
          <w:lang w:val="es-MX"/>
        </w:rPr>
        <w:t xml:space="preserve">Deontología y bioética de la </w:t>
      </w:r>
      <w:r>
        <w:rPr>
          <w:snapToGrid w:val="0"/>
          <w:sz w:val="22"/>
          <w:lang w:val="es-MX"/>
        </w:rPr>
        <w:t>terapia sexual.</w:t>
      </w:r>
    </w:p>
    <w:p w:rsidR="007D08F6" w:rsidRDefault="007D08F6" w:rsidP="007D08F6">
      <w:pPr>
        <w:widowControl w:val="0"/>
        <w:tabs>
          <w:tab w:val="left" w:pos="430"/>
        </w:tabs>
        <w:spacing w:line="283" w:lineRule="exact"/>
        <w:jc w:val="both"/>
        <w:rPr>
          <w:snapToGrid w:val="0"/>
          <w:sz w:val="22"/>
          <w:lang w:val="es-MX"/>
        </w:rPr>
      </w:pPr>
    </w:p>
    <w:p w:rsidR="007D08F6" w:rsidRDefault="007D08F6" w:rsidP="007D08F6">
      <w:pPr>
        <w:widowControl w:val="0"/>
        <w:tabs>
          <w:tab w:val="left" w:pos="204"/>
        </w:tabs>
        <w:jc w:val="both"/>
        <w:rPr>
          <w:b/>
          <w:snapToGrid w:val="0"/>
          <w:sz w:val="24"/>
          <w:lang w:val="es-MX"/>
        </w:rPr>
      </w:pPr>
      <w:r>
        <w:rPr>
          <w:b/>
          <w:snapToGrid w:val="0"/>
          <w:sz w:val="24"/>
          <w:lang w:val="es-MX"/>
        </w:rPr>
        <w:t>(De acuerdo a la demanda se agregarán Bolillas de común acuerdo con los alumnos)</w:t>
      </w:r>
    </w:p>
    <w:p w:rsidR="004A5AFC" w:rsidRDefault="004A5AFC" w:rsidP="007D08F6">
      <w:pPr>
        <w:widowControl w:val="0"/>
        <w:tabs>
          <w:tab w:val="left" w:pos="204"/>
        </w:tabs>
        <w:jc w:val="both"/>
        <w:rPr>
          <w:b/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204"/>
        </w:tabs>
        <w:jc w:val="both"/>
        <w:rPr>
          <w:b/>
          <w:snapToGrid w:val="0"/>
          <w:sz w:val="24"/>
          <w:lang w:val="es-MX"/>
        </w:rPr>
      </w:pPr>
    </w:p>
    <w:p w:rsidR="007D08F6" w:rsidRDefault="007D08F6" w:rsidP="007D08F6">
      <w:pPr>
        <w:widowControl w:val="0"/>
        <w:tabs>
          <w:tab w:val="left" w:pos="204"/>
        </w:tabs>
        <w:jc w:val="both"/>
        <w:rPr>
          <w:b/>
          <w:snapToGrid w:val="0"/>
          <w:sz w:val="24"/>
          <w:lang w:val="es-MX"/>
        </w:rPr>
      </w:pPr>
      <w:r>
        <w:rPr>
          <w:b/>
          <w:snapToGrid w:val="0"/>
          <w:sz w:val="24"/>
          <w:lang w:val="es-MX"/>
        </w:rPr>
        <w:t>BIBLIOGRAFIA</w:t>
      </w:r>
    </w:p>
    <w:p w:rsidR="007D08F6" w:rsidRDefault="007D08F6" w:rsidP="007D08F6">
      <w:pPr>
        <w:widowControl w:val="0"/>
        <w:tabs>
          <w:tab w:val="left" w:pos="204"/>
        </w:tabs>
        <w:jc w:val="both"/>
        <w:rPr>
          <w:b/>
          <w:snapToGrid w:val="0"/>
          <w:sz w:val="24"/>
          <w:lang w:val="es-MX"/>
        </w:rPr>
      </w:pPr>
      <w:r>
        <w:rPr>
          <w:b/>
          <w:snapToGrid w:val="0"/>
          <w:sz w:val="24"/>
          <w:lang w:val="es-MX"/>
        </w:rPr>
        <w:t xml:space="preserve">La indicada por el Docente y la aportada por los </w:t>
      </w:r>
      <w:r w:rsidR="00E67B6E">
        <w:rPr>
          <w:b/>
          <w:snapToGrid w:val="0"/>
          <w:sz w:val="24"/>
          <w:lang w:val="es-MX"/>
        </w:rPr>
        <w:t xml:space="preserve">doceentes y </w:t>
      </w:r>
      <w:r>
        <w:rPr>
          <w:b/>
          <w:snapToGrid w:val="0"/>
          <w:sz w:val="24"/>
          <w:lang w:val="es-MX"/>
        </w:rPr>
        <w:t>alumnos de acuerdo a su formación.</w:t>
      </w:r>
    </w:p>
    <w:p w:rsidR="007D08F6" w:rsidRDefault="007D08F6" w:rsidP="007D08F6">
      <w:pPr>
        <w:rPr>
          <w:lang w:val="es-MX"/>
        </w:rPr>
      </w:pPr>
    </w:p>
    <w:p w:rsidR="00920C58" w:rsidRDefault="00920C58" w:rsidP="007D08F6">
      <w:pPr>
        <w:rPr>
          <w:b/>
          <w:sz w:val="24"/>
          <w:szCs w:val="24"/>
          <w:lang w:val="es-MX"/>
        </w:rPr>
      </w:pPr>
      <w:r w:rsidRPr="00920C58">
        <w:rPr>
          <w:b/>
          <w:sz w:val="24"/>
          <w:szCs w:val="24"/>
          <w:lang w:val="es-MX"/>
        </w:rPr>
        <w:t>EVALUACION</w:t>
      </w:r>
    </w:p>
    <w:p w:rsidR="00920C58" w:rsidRPr="00920C58" w:rsidRDefault="00920C58" w:rsidP="007D08F6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Cinco (cinco) Historias clínicas</w:t>
      </w:r>
      <w:r w:rsidR="004A5AFC">
        <w:rPr>
          <w:b/>
          <w:sz w:val="24"/>
          <w:szCs w:val="24"/>
          <w:lang w:val="es-MX"/>
        </w:rPr>
        <w:t xml:space="preserve"> comentadas al final del Curso y Trabajo de Investigación</w:t>
      </w:r>
    </w:p>
    <w:p w:rsidR="00680658" w:rsidRDefault="00680658"/>
    <w:sectPr w:rsidR="00680658" w:rsidSect="00606B13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AED" w:rsidRDefault="00BB5AED">
      <w:r>
        <w:separator/>
      </w:r>
    </w:p>
  </w:endnote>
  <w:endnote w:type="continuationSeparator" w:id="1">
    <w:p w:rsidR="00BB5AED" w:rsidRDefault="00BB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AED" w:rsidRDefault="00BB5AED">
      <w:r>
        <w:separator/>
      </w:r>
    </w:p>
  </w:footnote>
  <w:footnote w:type="continuationSeparator" w:id="1">
    <w:p w:rsidR="00BB5AED" w:rsidRDefault="00BB5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8A" w:rsidRDefault="000948FB" w:rsidP="007D08F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4D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4D8A" w:rsidRDefault="002F4D8A" w:rsidP="007D08F6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8A" w:rsidRDefault="000948FB" w:rsidP="007D08F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F4D8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34C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4D8A" w:rsidRDefault="002F4D8A" w:rsidP="007D08F6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8F6"/>
    <w:rsid w:val="00042859"/>
    <w:rsid w:val="000948FB"/>
    <w:rsid w:val="000B7F47"/>
    <w:rsid w:val="002F4D8A"/>
    <w:rsid w:val="003F3D7A"/>
    <w:rsid w:val="004A5AFC"/>
    <w:rsid w:val="00606B13"/>
    <w:rsid w:val="00680658"/>
    <w:rsid w:val="007D08F6"/>
    <w:rsid w:val="007F2880"/>
    <w:rsid w:val="008D1CB3"/>
    <w:rsid w:val="00906EF3"/>
    <w:rsid w:val="00920C58"/>
    <w:rsid w:val="00AE17C4"/>
    <w:rsid w:val="00B83B67"/>
    <w:rsid w:val="00BB5AED"/>
    <w:rsid w:val="00C6171C"/>
    <w:rsid w:val="00C9314F"/>
    <w:rsid w:val="00E67B6E"/>
    <w:rsid w:val="00F1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8F6"/>
    <w:pPr>
      <w:autoSpaceDE w:val="0"/>
      <w:autoSpaceDN w:val="0"/>
    </w:pPr>
    <w:rPr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D08F6"/>
    <w:pPr>
      <w:widowControl w:val="0"/>
      <w:jc w:val="center"/>
    </w:pPr>
    <w:rPr>
      <w:b/>
      <w:bCs/>
      <w:sz w:val="28"/>
      <w:szCs w:val="28"/>
      <w:lang w:val="es-MX"/>
    </w:rPr>
  </w:style>
  <w:style w:type="paragraph" w:styleId="Encabezado">
    <w:name w:val="header"/>
    <w:basedOn w:val="Normal"/>
    <w:rsid w:val="007D08F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D0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URUGUAYO DE CAPACITACION SEXOLOGICA</vt:lpstr>
    </vt:vector>
  </TitlesOfParts>
  <Company>Computacion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URUGUAYO DE CAPACITACION SEXOLOGICA</dc:title>
  <dc:creator>Beltron</dc:creator>
  <cp:lastModifiedBy>nb_hp</cp:lastModifiedBy>
  <cp:revision>5</cp:revision>
  <dcterms:created xsi:type="dcterms:W3CDTF">2016-12-19T10:43:00Z</dcterms:created>
  <dcterms:modified xsi:type="dcterms:W3CDTF">2016-12-29T13:20:00Z</dcterms:modified>
</cp:coreProperties>
</file>